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676B809F"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6A345E">
        <w:rPr>
          <w:rFonts w:ascii="Tahoma" w:hAnsi="Tahoma" w:cs="Tahoma"/>
          <w:sz w:val="20"/>
        </w:rPr>
        <w:t>12</w:t>
      </w:r>
      <w:r w:rsidR="00B62D45">
        <w:rPr>
          <w:rFonts w:ascii="Tahoma" w:hAnsi="Tahoma" w:cs="Tahoma"/>
          <w:sz w:val="20"/>
        </w:rPr>
        <w:t xml:space="preserve">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36EDA5B2" w14:textId="77777777" w:rsidR="00E573A4" w:rsidRDefault="00E573A4" w:rsidP="00F962BF">
      <w:pPr>
        <w:jc w:val="both"/>
        <w:rPr>
          <w:rFonts w:ascii="Tahoma" w:hAnsi="Tahoma" w:cs="Tahoma"/>
          <w:sz w:val="20"/>
        </w:rPr>
      </w:pPr>
    </w:p>
    <w:p w14:paraId="55FA6598" w14:textId="77777777" w:rsidR="00E573A4" w:rsidRPr="00071722" w:rsidRDefault="00E573A4" w:rsidP="00F962BF">
      <w:pPr>
        <w:jc w:val="both"/>
        <w:rPr>
          <w:rFonts w:ascii="Tahoma" w:hAnsi="Tahoma" w:cs="Tahoma"/>
          <w:sz w:val="20"/>
        </w:rPr>
      </w:pPr>
    </w:p>
    <w:p w14:paraId="02186073" w14:textId="38A7809A"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B62D45">
        <w:rPr>
          <w:rFonts w:ascii="Tahoma" w:hAnsi="Tahoma" w:cs="Tahoma"/>
          <w:b/>
          <w:sz w:val="20"/>
        </w:rPr>
        <w:t>3</w:t>
      </w:r>
      <w:r w:rsidR="00AC31B6">
        <w:rPr>
          <w:rFonts w:ascii="Tahoma" w:hAnsi="Tahoma" w:cs="Tahoma"/>
          <w:b/>
          <w:sz w:val="20"/>
        </w:rPr>
        <w:t>8</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3828587F" w:rsidR="00D7557A" w:rsidRPr="007219B0" w:rsidRDefault="00D7557A" w:rsidP="00D73C64">
      <w:pPr>
        <w:ind w:right="-426"/>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D73C64" w:rsidRPr="00E573A4">
        <w:rPr>
          <w:rFonts w:ascii="Tahoma" w:eastAsia="Trebuchet MS" w:hAnsi="Tahoma" w:cs="Tahoma"/>
          <w:b/>
          <w:sz w:val="18"/>
          <w:szCs w:val="18"/>
          <w:lang w:eastAsia="zh-CN"/>
        </w:rPr>
        <w:t xml:space="preserve">Kurs </w:t>
      </w:r>
      <w:proofErr w:type="spellStart"/>
      <w:r w:rsidR="00AC31B6">
        <w:rPr>
          <w:rFonts w:ascii="Tahoma" w:eastAsia="Trebuchet MS" w:hAnsi="Tahoma" w:cs="Tahoma"/>
          <w:b/>
          <w:sz w:val="18"/>
          <w:szCs w:val="18"/>
          <w:lang w:eastAsia="zh-CN"/>
        </w:rPr>
        <w:t>sommelierski</w:t>
      </w:r>
      <w:proofErr w:type="spellEnd"/>
      <w:r w:rsidR="00FC29C7">
        <w:rPr>
          <w:rFonts w:ascii="Tahoma" w:eastAsia="Trebuchet MS" w:hAnsi="Tahoma" w:cs="Tahoma"/>
          <w:b/>
          <w:sz w:val="18"/>
          <w:szCs w:val="18"/>
          <w:lang w:eastAsia="zh-CN"/>
        </w:rPr>
        <w:t xml:space="preserve"> </w:t>
      </w:r>
      <w:r w:rsidR="00D73C64" w:rsidRPr="00D73C64">
        <w:rPr>
          <w:rFonts w:ascii="Tahoma" w:eastAsia="Trebuchet MS" w:hAnsi="Tahoma" w:cs="Tahoma"/>
          <w:b/>
          <w:sz w:val="18"/>
          <w:szCs w:val="18"/>
          <w:lang w:eastAsia="zh-CN"/>
        </w:rPr>
        <w:t xml:space="preserve">dla </w:t>
      </w:r>
      <w:r w:rsidR="00AC31B6">
        <w:rPr>
          <w:rFonts w:ascii="Tahoma" w:eastAsia="Trebuchet MS" w:hAnsi="Tahoma" w:cs="Tahoma"/>
          <w:b/>
          <w:sz w:val="18"/>
          <w:szCs w:val="18"/>
          <w:lang w:eastAsia="zh-CN"/>
        </w:rPr>
        <w:t>1 grupy</w:t>
      </w:r>
      <w:r w:rsidR="00F84AD2">
        <w:rPr>
          <w:rFonts w:ascii="Tahoma" w:eastAsia="Trebuchet MS" w:hAnsi="Tahoma" w:cs="Tahoma"/>
          <w:b/>
          <w:sz w:val="18"/>
          <w:szCs w:val="18"/>
          <w:lang w:eastAsia="zh-CN"/>
        </w:rPr>
        <w:t xml:space="preserve"> </w:t>
      </w:r>
      <w:r w:rsidR="00EC18C4" w:rsidRPr="00D73C64">
        <w:rPr>
          <w:rFonts w:ascii="Tahoma" w:eastAsia="Trebuchet MS" w:hAnsi="Tahoma" w:cs="Tahoma"/>
          <w:b/>
          <w:sz w:val="18"/>
          <w:szCs w:val="18"/>
          <w:lang w:eastAsia="zh-CN"/>
        </w:rPr>
        <w:t>uczestników</w:t>
      </w:r>
      <w:r w:rsidR="00DC0078" w:rsidRPr="00D73C64">
        <w:rPr>
          <w:rFonts w:ascii="Tahoma" w:eastAsia="Trebuchet MS" w:hAnsi="Tahoma" w:cs="Tahoma"/>
          <w:b/>
          <w:sz w:val="18"/>
          <w:szCs w:val="18"/>
          <w:lang w:eastAsia="zh-CN"/>
        </w:rPr>
        <w:t xml:space="preserve"> (</w:t>
      </w:r>
      <w:r w:rsidR="00AC31B6">
        <w:rPr>
          <w:rFonts w:ascii="Tahoma" w:eastAsia="Trebuchet MS" w:hAnsi="Tahoma" w:cs="Tahoma"/>
          <w:b/>
          <w:sz w:val="18"/>
          <w:szCs w:val="18"/>
          <w:lang w:eastAsia="zh-CN"/>
        </w:rPr>
        <w:t>1</w:t>
      </w:r>
      <w:r w:rsidR="00DC0078" w:rsidRPr="00D73C64">
        <w:rPr>
          <w:rFonts w:ascii="Tahoma" w:eastAsia="Trebuchet MS" w:hAnsi="Tahoma" w:cs="Tahoma"/>
          <w:b/>
          <w:sz w:val="18"/>
          <w:szCs w:val="18"/>
          <w:lang w:eastAsia="zh-CN"/>
        </w:rPr>
        <w:t xml:space="preserve"> kurs)</w:t>
      </w:r>
      <w:r w:rsidR="00DC0078" w:rsidRPr="007219B0">
        <w:rPr>
          <w:rFonts w:ascii="Tahoma" w:eastAsia="Trebuchet MS" w:hAnsi="Tahoma" w:cs="Tahoma"/>
          <w:sz w:val="18"/>
          <w:szCs w:val="18"/>
          <w:lang w:eastAsia="zh-CN"/>
        </w:rPr>
        <w:t xml:space="preserve">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w:t>
      </w:r>
      <w:bookmarkStart w:id="0" w:name="_GoBack"/>
      <w:r w:rsidRPr="007219B0">
        <w:rPr>
          <w:rFonts w:ascii="Tahoma" w:hAnsi="Tahoma" w:cs="Tahoma"/>
          <w:color w:val="000000"/>
          <w:sz w:val="18"/>
          <w:szCs w:val="18"/>
        </w:rPr>
        <w:t>Powiatowa Akademia Sukcesu Ucznia Szkoły Zawodowej</w:t>
      </w:r>
      <w:bookmarkEnd w:id="0"/>
      <w:r w:rsidRPr="007219B0">
        <w:rPr>
          <w:rFonts w:ascii="Tahoma" w:hAnsi="Tahoma" w:cs="Tahoma"/>
          <w:color w:val="000000"/>
          <w:sz w:val="18"/>
          <w:szCs w:val="18"/>
        </w:rPr>
        <w:t>”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6A0CD2D0" w:rsidR="00F962BF" w:rsidRPr="00D05C89"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ferty należy składać w terminie do</w:t>
      </w:r>
      <w:r w:rsidR="004A22F8" w:rsidRPr="00E573A4">
        <w:rPr>
          <w:rFonts w:ascii="Tahoma" w:hAnsi="Tahoma" w:cs="Tahoma"/>
          <w:sz w:val="18"/>
          <w:szCs w:val="18"/>
        </w:rPr>
        <w:t xml:space="preserve"> </w:t>
      </w:r>
      <w:r w:rsidR="002A4AE6" w:rsidRPr="00D05C89">
        <w:rPr>
          <w:rFonts w:ascii="Tahoma" w:hAnsi="Tahoma" w:cs="Tahoma"/>
          <w:b/>
          <w:sz w:val="18"/>
          <w:szCs w:val="18"/>
        </w:rPr>
        <w:t>22</w:t>
      </w:r>
      <w:r w:rsidR="00687322" w:rsidRPr="00D05C89">
        <w:rPr>
          <w:rFonts w:ascii="Tahoma" w:hAnsi="Tahoma" w:cs="Tahoma"/>
          <w:b/>
          <w:sz w:val="18"/>
          <w:szCs w:val="18"/>
        </w:rPr>
        <w:t xml:space="preserve"> listopada</w:t>
      </w:r>
      <w:r w:rsidRPr="00D05C89">
        <w:rPr>
          <w:rFonts w:ascii="Tahoma" w:hAnsi="Tahoma" w:cs="Tahoma"/>
          <w:b/>
          <w:sz w:val="18"/>
          <w:szCs w:val="18"/>
        </w:rPr>
        <w:t xml:space="preserve"> 20</w:t>
      </w:r>
      <w:r w:rsidR="00D9238D" w:rsidRPr="00D05C89">
        <w:rPr>
          <w:rFonts w:ascii="Tahoma" w:hAnsi="Tahoma" w:cs="Tahoma"/>
          <w:b/>
          <w:sz w:val="18"/>
          <w:szCs w:val="18"/>
        </w:rPr>
        <w:t>2</w:t>
      </w:r>
      <w:r w:rsidR="009452BD" w:rsidRPr="00D05C89">
        <w:rPr>
          <w:rFonts w:ascii="Tahoma" w:hAnsi="Tahoma" w:cs="Tahoma"/>
          <w:b/>
          <w:sz w:val="18"/>
          <w:szCs w:val="18"/>
        </w:rPr>
        <w:t>1</w:t>
      </w:r>
      <w:r w:rsidRPr="00D05C89">
        <w:rPr>
          <w:rFonts w:ascii="Tahoma" w:hAnsi="Tahoma" w:cs="Tahoma"/>
          <w:b/>
          <w:sz w:val="18"/>
          <w:szCs w:val="18"/>
        </w:rPr>
        <w:t xml:space="preserve"> roku</w:t>
      </w:r>
      <w:r w:rsidR="007E753A" w:rsidRPr="00D05C89">
        <w:rPr>
          <w:rFonts w:ascii="Tahoma" w:hAnsi="Tahoma" w:cs="Tahoma"/>
          <w:b/>
          <w:sz w:val="18"/>
          <w:szCs w:val="18"/>
        </w:rPr>
        <w:t xml:space="preserve"> </w:t>
      </w:r>
      <w:r w:rsidR="009452BD" w:rsidRPr="00D05C89">
        <w:rPr>
          <w:rFonts w:ascii="Tahoma" w:hAnsi="Tahoma" w:cs="Tahoma"/>
          <w:b/>
          <w:sz w:val="18"/>
          <w:szCs w:val="18"/>
        </w:rPr>
        <w:t>do godziny 9.00.</w:t>
      </w:r>
    </w:p>
    <w:p w14:paraId="4C2CE864" w14:textId="77777777" w:rsidR="00F962BF" w:rsidRPr="00D05C89" w:rsidRDefault="00F962BF" w:rsidP="00F962BF">
      <w:pPr>
        <w:pStyle w:val="Akapitzlist"/>
        <w:ind w:left="0"/>
        <w:jc w:val="both"/>
        <w:rPr>
          <w:rFonts w:ascii="Tahoma" w:hAnsi="Tahoma" w:cs="Tahoma"/>
          <w:b/>
          <w:bCs/>
          <w:iCs/>
          <w:sz w:val="18"/>
          <w:szCs w:val="18"/>
        </w:rPr>
      </w:pPr>
    </w:p>
    <w:p w14:paraId="71DC2AC1" w14:textId="1948FB9C" w:rsidR="00F962BF"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p w14:paraId="55F5159E" w14:textId="2D41CC7B" w:rsidR="00D73C64" w:rsidRDefault="00D73C64" w:rsidP="00D73C64">
      <w:pPr>
        <w:pStyle w:val="Akapitzlist"/>
        <w:rPr>
          <w:rFonts w:ascii="Tahoma" w:hAnsi="Tahoma" w:cs="Tahoma"/>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819"/>
      </w:tblGrid>
      <w:tr w:rsidR="00AC31B6" w:rsidRPr="00660EB6" w14:paraId="4BBB7B59" w14:textId="77777777" w:rsidTr="00D0211F">
        <w:tc>
          <w:tcPr>
            <w:tcW w:w="9889" w:type="dxa"/>
            <w:gridSpan w:val="2"/>
            <w:tcBorders>
              <w:top w:val="single" w:sz="4" w:space="0" w:color="auto"/>
              <w:left w:val="single" w:sz="4" w:space="0" w:color="auto"/>
              <w:bottom w:val="single" w:sz="4" w:space="0" w:color="auto"/>
              <w:right w:val="single" w:sz="4" w:space="0" w:color="auto"/>
            </w:tcBorders>
            <w:hideMark/>
          </w:tcPr>
          <w:p w14:paraId="41CF60A5" w14:textId="58A1F0F5" w:rsidR="00AC31B6" w:rsidRPr="00660EB6" w:rsidRDefault="00AC31B6" w:rsidP="00D0211F">
            <w:pPr>
              <w:jc w:val="both"/>
              <w:rPr>
                <w:rFonts w:ascii="Tahoma" w:eastAsia="Trebuchet MS" w:hAnsi="Tahoma" w:cs="Tahoma"/>
                <w:b/>
                <w:sz w:val="18"/>
                <w:szCs w:val="18"/>
                <w:lang w:eastAsia="zh-CN"/>
              </w:rPr>
            </w:pPr>
            <w:r w:rsidRPr="00660EB6">
              <w:rPr>
                <w:rFonts w:ascii="Tahoma" w:eastAsia="Trebuchet MS" w:hAnsi="Tahoma" w:cs="Tahoma"/>
                <w:b/>
                <w:sz w:val="18"/>
                <w:szCs w:val="18"/>
                <w:lang w:eastAsia="zh-CN"/>
              </w:rPr>
              <w:t xml:space="preserve">Kurs </w:t>
            </w:r>
            <w:proofErr w:type="spellStart"/>
            <w:r w:rsidRPr="00660EB6">
              <w:rPr>
                <w:rFonts w:ascii="Tahoma" w:eastAsia="Trebuchet MS" w:hAnsi="Tahoma" w:cs="Tahoma"/>
                <w:b/>
                <w:sz w:val="18"/>
                <w:szCs w:val="18"/>
                <w:lang w:eastAsia="zh-CN"/>
              </w:rPr>
              <w:t>sommelierski</w:t>
            </w:r>
            <w:proofErr w:type="spellEnd"/>
          </w:p>
        </w:tc>
      </w:tr>
      <w:tr w:rsidR="00AC31B6" w:rsidRPr="00660EB6" w14:paraId="7C7CE3DC" w14:textId="77777777" w:rsidTr="00D0211F">
        <w:tc>
          <w:tcPr>
            <w:tcW w:w="9889" w:type="dxa"/>
            <w:gridSpan w:val="2"/>
            <w:tcBorders>
              <w:top w:val="single" w:sz="4" w:space="0" w:color="auto"/>
              <w:left w:val="single" w:sz="4" w:space="0" w:color="auto"/>
              <w:bottom w:val="single" w:sz="4" w:space="0" w:color="auto"/>
              <w:right w:val="single" w:sz="4" w:space="0" w:color="auto"/>
            </w:tcBorders>
            <w:hideMark/>
          </w:tcPr>
          <w:p w14:paraId="7277E443" w14:textId="5E1AFBD0" w:rsidR="00AC31B6" w:rsidRPr="00660EB6" w:rsidRDefault="00AC31B6" w:rsidP="00D0211F">
            <w:pPr>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Przedmiotem zamówienia </w:t>
            </w:r>
            <w:r>
              <w:rPr>
                <w:rFonts w:ascii="Tahoma" w:eastAsia="Trebuchet MS" w:hAnsi="Tahoma" w:cs="Tahoma"/>
                <w:sz w:val="18"/>
                <w:szCs w:val="18"/>
                <w:lang w:eastAsia="zh-CN"/>
              </w:rPr>
              <w:t xml:space="preserve">jest kurs ,,Kurs </w:t>
            </w:r>
            <w:proofErr w:type="spellStart"/>
            <w:r>
              <w:rPr>
                <w:rFonts w:ascii="Tahoma" w:eastAsia="Trebuchet MS" w:hAnsi="Tahoma" w:cs="Tahoma"/>
                <w:sz w:val="18"/>
                <w:szCs w:val="18"/>
                <w:lang w:eastAsia="zh-CN"/>
              </w:rPr>
              <w:t>sommelierski</w:t>
            </w:r>
            <w:proofErr w:type="spellEnd"/>
            <w:r>
              <w:rPr>
                <w:rFonts w:ascii="Tahoma" w:eastAsia="Trebuchet MS" w:hAnsi="Tahoma" w:cs="Tahoma"/>
                <w:sz w:val="18"/>
                <w:szCs w:val="18"/>
                <w:lang w:eastAsia="zh-CN"/>
              </w:rPr>
              <w:t xml:space="preserve">” </w:t>
            </w:r>
            <w:r w:rsidRPr="00660EB6">
              <w:rPr>
                <w:rFonts w:ascii="Tahoma" w:eastAsia="Trebuchet MS" w:hAnsi="Tahoma" w:cs="Tahoma"/>
                <w:sz w:val="18"/>
                <w:szCs w:val="18"/>
                <w:lang w:eastAsia="zh-CN"/>
              </w:rPr>
              <w:t>w wymiarze 24 godzin zegarowych</w:t>
            </w:r>
            <w:r w:rsidRPr="00660EB6">
              <w:rPr>
                <w:rFonts w:ascii="Tahoma" w:eastAsia="Trebuchet MS" w:hAnsi="Tahoma" w:cs="Tahoma"/>
                <w:color w:val="FF0000"/>
                <w:sz w:val="18"/>
                <w:szCs w:val="18"/>
                <w:lang w:eastAsia="zh-CN"/>
              </w:rPr>
              <w:t xml:space="preserve"> </w:t>
            </w:r>
            <w:r w:rsidRPr="00660EB6">
              <w:rPr>
                <w:rFonts w:ascii="Tahoma" w:eastAsia="Trebuchet MS" w:hAnsi="Tahoma" w:cs="Tahoma"/>
                <w:sz w:val="18"/>
                <w:szCs w:val="18"/>
                <w:lang w:eastAsia="zh-CN"/>
              </w:rPr>
              <w:t xml:space="preserve">dla jednej grupy (max. </w:t>
            </w:r>
            <w:r w:rsidR="0083350B">
              <w:rPr>
                <w:rFonts w:ascii="Tahoma" w:eastAsia="Trebuchet MS" w:hAnsi="Tahoma" w:cs="Tahoma"/>
                <w:sz w:val="18"/>
                <w:szCs w:val="18"/>
                <w:lang w:eastAsia="zh-CN"/>
              </w:rPr>
              <w:t>11</w:t>
            </w:r>
            <w:r w:rsidRPr="00660EB6">
              <w:rPr>
                <w:rFonts w:ascii="Tahoma" w:eastAsia="Trebuchet MS" w:hAnsi="Tahoma" w:cs="Tahoma"/>
                <w:sz w:val="18"/>
                <w:szCs w:val="18"/>
                <w:lang w:eastAsia="zh-CN"/>
              </w:rPr>
              <w:t xml:space="preserve"> osób). Kurs zakończy się uzyskaniem zaświadczenia o ukończeniu kursu.</w:t>
            </w:r>
          </w:p>
        </w:tc>
      </w:tr>
      <w:tr w:rsidR="00AC31B6" w:rsidRPr="00660EB6" w14:paraId="77A42D1D" w14:textId="77777777" w:rsidTr="00D0211F">
        <w:tc>
          <w:tcPr>
            <w:tcW w:w="3070" w:type="dxa"/>
            <w:tcBorders>
              <w:top w:val="single" w:sz="4" w:space="0" w:color="auto"/>
              <w:left w:val="single" w:sz="4" w:space="0" w:color="auto"/>
              <w:bottom w:val="single" w:sz="4" w:space="0" w:color="auto"/>
              <w:right w:val="single" w:sz="4" w:space="0" w:color="auto"/>
            </w:tcBorders>
            <w:hideMark/>
          </w:tcPr>
          <w:p w14:paraId="5E3E6322" w14:textId="77777777" w:rsidR="00AC31B6" w:rsidRPr="00826ABC" w:rsidRDefault="00AC31B6" w:rsidP="00D0211F">
            <w:pPr>
              <w:pStyle w:val="Akapitzlist"/>
              <w:numPr>
                <w:ilvl w:val="0"/>
                <w:numId w:val="54"/>
              </w:numPr>
              <w:ind w:left="313" w:hanging="284"/>
              <w:jc w:val="both"/>
              <w:rPr>
                <w:rFonts w:ascii="Tahoma" w:eastAsia="Trebuchet MS" w:hAnsi="Tahoma" w:cs="Tahoma"/>
                <w:sz w:val="18"/>
                <w:szCs w:val="18"/>
                <w:lang w:eastAsia="zh-CN"/>
              </w:rPr>
            </w:pPr>
            <w:r w:rsidRPr="00826ABC">
              <w:rPr>
                <w:rFonts w:ascii="Tahoma" w:eastAsia="Trebuchet MS" w:hAnsi="Tahoma" w:cs="Tahoma"/>
                <w:sz w:val="18"/>
                <w:szCs w:val="18"/>
                <w:lang w:eastAsia="zh-CN"/>
              </w:rPr>
              <w:t>Termin i miejsce realizacji zajęć</w:t>
            </w:r>
          </w:p>
        </w:tc>
        <w:tc>
          <w:tcPr>
            <w:tcW w:w="6819" w:type="dxa"/>
            <w:tcBorders>
              <w:top w:val="single" w:sz="4" w:space="0" w:color="auto"/>
              <w:left w:val="single" w:sz="4" w:space="0" w:color="auto"/>
              <w:bottom w:val="single" w:sz="4" w:space="0" w:color="auto"/>
              <w:right w:val="single" w:sz="4" w:space="0" w:color="auto"/>
            </w:tcBorders>
            <w:hideMark/>
          </w:tcPr>
          <w:p w14:paraId="1A6E0511" w14:textId="76853858" w:rsidR="00AC31B6" w:rsidRPr="00660EB6" w:rsidRDefault="00AC31B6" w:rsidP="00D0211F">
            <w:pPr>
              <w:numPr>
                <w:ilvl w:val="0"/>
                <w:numId w:val="66"/>
              </w:numPr>
              <w:ind w:left="361" w:hanging="361"/>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Kurs powinien być przeprowadzony </w:t>
            </w:r>
            <w:r>
              <w:rPr>
                <w:rFonts w:ascii="Tahoma" w:eastAsia="Trebuchet MS" w:hAnsi="Tahoma" w:cs="Tahoma"/>
                <w:sz w:val="18"/>
                <w:szCs w:val="18"/>
                <w:lang w:eastAsia="zh-CN"/>
              </w:rPr>
              <w:t xml:space="preserve">w terminie od podpisania umowy </w:t>
            </w:r>
            <w:r w:rsidRPr="00660EB6">
              <w:rPr>
                <w:rFonts w:ascii="Tahoma" w:eastAsia="Trebuchet MS" w:hAnsi="Tahoma" w:cs="Tahoma"/>
                <w:sz w:val="18"/>
                <w:szCs w:val="18"/>
                <w:lang w:eastAsia="zh-CN"/>
              </w:rPr>
              <w:t xml:space="preserve">do </w:t>
            </w:r>
            <w:r w:rsidR="00D05C89">
              <w:rPr>
                <w:rFonts w:ascii="Tahoma" w:eastAsia="Trebuchet MS" w:hAnsi="Tahoma" w:cs="Tahoma"/>
                <w:sz w:val="18"/>
                <w:szCs w:val="18"/>
                <w:lang w:eastAsia="zh-CN"/>
              </w:rPr>
              <w:t>28 lutego</w:t>
            </w:r>
            <w:r w:rsidRPr="00660EB6">
              <w:rPr>
                <w:rFonts w:ascii="Tahoma" w:eastAsia="Trebuchet MS" w:hAnsi="Tahoma" w:cs="Tahoma"/>
                <w:sz w:val="18"/>
                <w:szCs w:val="18"/>
                <w:lang w:eastAsia="zh-CN"/>
              </w:rPr>
              <w:t xml:space="preserve"> 202</w:t>
            </w:r>
            <w:r w:rsidR="00D05C89">
              <w:rPr>
                <w:rFonts w:ascii="Tahoma" w:eastAsia="Trebuchet MS" w:hAnsi="Tahoma" w:cs="Tahoma"/>
                <w:sz w:val="18"/>
                <w:szCs w:val="18"/>
                <w:lang w:eastAsia="zh-CN"/>
              </w:rPr>
              <w:t>2</w:t>
            </w:r>
            <w:r w:rsidRPr="00660EB6">
              <w:rPr>
                <w:rFonts w:ascii="Tahoma" w:eastAsia="Trebuchet MS" w:hAnsi="Tahoma" w:cs="Tahoma"/>
                <w:sz w:val="18"/>
                <w:szCs w:val="18"/>
                <w:lang w:eastAsia="zh-CN"/>
              </w:rPr>
              <w:t xml:space="preserve"> r.</w:t>
            </w:r>
          </w:p>
          <w:p w14:paraId="09C51E5E" w14:textId="77777777" w:rsidR="00AC31B6" w:rsidRPr="00660EB6" w:rsidRDefault="00AC31B6" w:rsidP="00D0211F">
            <w:pPr>
              <w:numPr>
                <w:ilvl w:val="0"/>
                <w:numId w:val="66"/>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Szczegółowy harmonogram terminów oraz miejsca realizacji zajęć praktycznych zostanie ustalony z Wykonawcą po podpisaniu umowy. </w:t>
            </w:r>
          </w:p>
          <w:p w14:paraId="6A2AB0AC" w14:textId="77777777" w:rsidR="00AC31B6" w:rsidRPr="00660EB6" w:rsidRDefault="00AC31B6" w:rsidP="00D0211F">
            <w:pPr>
              <w:numPr>
                <w:ilvl w:val="0"/>
                <w:numId w:val="66"/>
              </w:numPr>
              <w:ind w:left="332" w:hanging="283"/>
              <w:jc w:val="both"/>
              <w:rPr>
                <w:rFonts w:ascii="Tahoma" w:hAnsi="Tahoma" w:cs="Tahoma"/>
                <w:color w:val="000000"/>
                <w:sz w:val="18"/>
                <w:szCs w:val="18"/>
              </w:rPr>
            </w:pPr>
            <w:r w:rsidRPr="00660EB6">
              <w:rPr>
                <w:rFonts w:ascii="Tahoma" w:eastAsia="Trebuchet MS" w:hAnsi="Tahoma" w:cs="Tahoma"/>
                <w:sz w:val="18"/>
                <w:szCs w:val="18"/>
                <w:lang w:eastAsia="zh-CN"/>
              </w:rPr>
              <w:t xml:space="preserve">Zajęcia co do zasady powinny </w:t>
            </w:r>
            <w:r w:rsidRPr="00660EB6">
              <w:rPr>
                <w:rFonts w:ascii="Tahoma" w:hAnsi="Tahoma" w:cs="Tahoma"/>
                <w:color w:val="000000"/>
                <w:sz w:val="18"/>
                <w:szCs w:val="18"/>
              </w:rPr>
              <w:t>odbywać się od poniedziałku do piątku, z wyłączeniem świąt, w przedziale godzinowym od 14.00 do 18.00. W uzasadnionych przypadkach dopuszcza się realizację zajęć w innych godzinach i/lub w systemie weekendowym.</w:t>
            </w:r>
          </w:p>
          <w:p w14:paraId="02C89CFE" w14:textId="77777777" w:rsidR="00AC31B6" w:rsidRPr="00660EB6" w:rsidRDefault="00AC31B6" w:rsidP="00D0211F">
            <w:pPr>
              <w:numPr>
                <w:ilvl w:val="0"/>
                <w:numId w:val="66"/>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Realizacja kursu powinna odbywać się na terenie powiatu tarnogórskiego lub innych powiatów, które są objęte zasięgiem sieci śląskiego lokalnego transportu zbiorowego. </w:t>
            </w:r>
          </w:p>
          <w:p w14:paraId="653B5BF7" w14:textId="77777777" w:rsidR="00AC31B6" w:rsidRPr="00660EB6" w:rsidRDefault="00AC31B6" w:rsidP="00D0211F">
            <w:pPr>
              <w:numPr>
                <w:ilvl w:val="0"/>
                <w:numId w:val="66"/>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lastRenderedPageBreak/>
              <w:t>W przypadku zajęć z użyciem specjalistycznego wyposażenia, urządzeń lub maszyn, Wykonawca wskazuje miejsce realizacji kursu.</w:t>
            </w:r>
          </w:p>
          <w:p w14:paraId="31440C91" w14:textId="3967A7ED" w:rsidR="00AC31B6" w:rsidRPr="00587864" w:rsidRDefault="00AC31B6" w:rsidP="00D0211F">
            <w:pPr>
              <w:numPr>
                <w:ilvl w:val="0"/>
                <w:numId w:val="66"/>
              </w:numPr>
              <w:suppressAutoHyphens/>
              <w:spacing w:line="200" w:lineRule="atLeast"/>
              <w:ind w:left="332" w:hanging="283"/>
              <w:jc w:val="both"/>
              <w:rPr>
                <w:rFonts w:ascii="Tahoma" w:eastAsia="Trebuchet MS" w:hAnsi="Tahoma" w:cs="Tahoma"/>
                <w:b/>
                <w:sz w:val="18"/>
                <w:szCs w:val="18"/>
                <w:lang w:eastAsia="zh-CN"/>
              </w:rPr>
            </w:pPr>
            <w:r w:rsidRPr="00587864">
              <w:rPr>
                <w:rFonts w:ascii="Tahoma" w:eastAsia="Trebuchet MS" w:hAnsi="Tahoma" w:cs="Tahoma"/>
                <w:b/>
                <w:sz w:val="18"/>
                <w:szCs w:val="18"/>
                <w:lang w:eastAsia="zh-CN"/>
              </w:rPr>
              <w:t>Program obejmuje zajęcia teoretyczne oraz zajęcia praktyczne.</w:t>
            </w:r>
            <w:r>
              <w:rPr>
                <w:rFonts w:ascii="Tahoma" w:eastAsia="Trebuchet MS" w:hAnsi="Tahoma" w:cs="Tahoma"/>
                <w:b/>
                <w:sz w:val="18"/>
                <w:szCs w:val="18"/>
                <w:lang w:eastAsia="zh-CN"/>
              </w:rPr>
              <w:t xml:space="preserve"> </w:t>
            </w:r>
            <w:r w:rsidRPr="00336979">
              <w:rPr>
                <w:rFonts w:ascii="Tahoma" w:eastAsia="Trebuchet MS" w:hAnsi="Tahoma" w:cs="Tahoma"/>
                <w:b/>
                <w:sz w:val="18"/>
                <w:szCs w:val="18"/>
                <w:lang w:eastAsia="zh-CN"/>
              </w:rPr>
              <w:t>Każdy uczestnik ma odbyć</w:t>
            </w:r>
            <w:r>
              <w:rPr>
                <w:rFonts w:ascii="Tahoma" w:eastAsia="Trebuchet MS" w:hAnsi="Tahoma" w:cs="Tahoma"/>
                <w:b/>
                <w:sz w:val="18"/>
                <w:szCs w:val="18"/>
                <w:lang w:eastAsia="zh-CN"/>
              </w:rPr>
              <w:t xml:space="preserve"> 24</w:t>
            </w:r>
            <w:r w:rsidRPr="00336979">
              <w:rPr>
                <w:rFonts w:ascii="Tahoma" w:eastAsia="Trebuchet MS" w:hAnsi="Tahoma" w:cs="Tahoma"/>
                <w:b/>
                <w:sz w:val="18"/>
                <w:szCs w:val="18"/>
                <w:lang w:eastAsia="zh-CN"/>
              </w:rPr>
              <w:t xml:space="preserve"> godzin</w:t>
            </w:r>
            <w:r>
              <w:rPr>
                <w:rFonts w:ascii="Tahoma" w:eastAsia="Trebuchet MS" w:hAnsi="Tahoma" w:cs="Tahoma"/>
                <w:b/>
                <w:sz w:val="18"/>
                <w:szCs w:val="18"/>
                <w:lang w:eastAsia="zh-CN"/>
              </w:rPr>
              <w:t>y</w:t>
            </w:r>
            <w:r w:rsidRPr="00336979">
              <w:rPr>
                <w:rFonts w:ascii="Tahoma" w:eastAsia="Trebuchet MS" w:hAnsi="Tahoma" w:cs="Tahoma"/>
                <w:b/>
                <w:sz w:val="18"/>
                <w:szCs w:val="18"/>
                <w:lang w:eastAsia="zh-CN"/>
              </w:rPr>
              <w:t xml:space="preserve"> zajęć</w:t>
            </w:r>
            <w:r>
              <w:rPr>
                <w:rFonts w:ascii="Tahoma" w:eastAsia="Trebuchet MS" w:hAnsi="Tahoma" w:cs="Tahoma"/>
                <w:b/>
                <w:sz w:val="18"/>
                <w:szCs w:val="18"/>
                <w:lang w:eastAsia="zh-CN"/>
              </w:rPr>
              <w:t>.</w:t>
            </w:r>
          </w:p>
          <w:p w14:paraId="1AA2EE7F" w14:textId="77777777" w:rsidR="00AC31B6" w:rsidRPr="00660EB6" w:rsidRDefault="00AC31B6" w:rsidP="00D0211F">
            <w:pPr>
              <w:numPr>
                <w:ilvl w:val="0"/>
                <w:numId w:val="66"/>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Rekrutacja uczestników kursu oraz zwrot kosztów dojazdów uczestników na zajęcia leży po stronie Zamawiającego.</w:t>
            </w:r>
          </w:p>
        </w:tc>
      </w:tr>
      <w:tr w:rsidR="00AC31B6" w:rsidRPr="00660EB6" w14:paraId="6DAECF50" w14:textId="77777777" w:rsidTr="00D0211F">
        <w:tc>
          <w:tcPr>
            <w:tcW w:w="3070" w:type="dxa"/>
            <w:tcBorders>
              <w:top w:val="single" w:sz="4" w:space="0" w:color="auto"/>
              <w:left w:val="single" w:sz="4" w:space="0" w:color="auto"/>
              <w:bottom w:val="single" w:sz="4" w:space="0" w:color="auto"/>
              <w:right w:val="single" w:sz="4" w:space="0" w:color="auto"/>
            </w:tcBorders>
            <w:hideMark/>
          </w:tcPr>
          <w:p w14:paraId="7063AD77" w14:textId="77777777" w:rsidR="00AC31B6" w:rsidRPr="00660EB6" w:rsidRDefault="00AC31B6" w:rsidP="00D0211F">
            <w:pPr>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lastRenderedPageBreak/>
              <w:t>2. Zakres i cel zajęć</w:t>
            </w:r>
          </w:p>
        </w:tc>
        <w:tc>
          <w:tcPr>
            <w:tcW w:w="6819" w:type="dxa"/>
            <w:tcBorders>
              <w:top w:val="single" w:sz="4" w:space="0" w:color="auto"/>
              <w:left w:val="single" w:sz="4" w:space="0" w:color="auto"/>
              <w:bottom w:val="single" w:sz="4" w:space="0" w:color="auto"/>
              <w:right w:val="single" w:sz="4" w:space="0" w:color="auto"/>
            </w:tcBorders>
            <w:hideMark/>
          </w:tcPr>
          <w:p w14:paraId="3B0298DB" w14:textId="77777777" w:rsidR="00AC31B6" w:rsidRPr="00660EB6" w:rsidRDefault="00AC31B6" w:rsidP="00D0211F">
            <w:pPr>
              <w:ind w:left="49"/>
              <w:jc w:val="both"/>
              <w:rPr>
                <w:rFonts w:ascii="Tahoma" w:eastAsia="Trebuchet MS" w:hAnsi="Tahoma" w:cs="Tahoma"/>
                <w:sz w:val="18"/>
                <w:szCs w:val="18"/>
                <w:lang w:eastAsia="zh-CN"/>
              </w:rPr>
            </w:pPr>
            <w:r w:rsidRPr="00660EB6">
              <w:rPr>
                <w:rFonts w:ascii="Tahoma" w:hAnsi="Tahoma" w:cs="Tahoma"/>
                <w:sz w:val="18"/>
                <w:szCs w:val="18"/>
              </w:rPr>
              <w:t xml:space="preserve">Celem kursu jest zdobycie wiedzy z zakresu produkcji win, podawania i serwowania win. </w:t>
            </w:r>
            <w:r w:rsidRPr="00660EB6">
              <w:rPr>
                <w:rFonts w:ascii="Tahoma" w:eastAsia="Trebuchet MS" w:hAnsi="Tahoma" w:cs="Tahoma"/>
                <w:sz w:val="18"/>
                <w:szCs w:val="18"/>
                <w:lang w:eastAsia="zh-CN"/>
              </w:rPr>
              <w:t>Program zajęć powinien obejmować 24 godziny zegarowe, w tym co najmniej 70 procent zajęć powinno mieć charakter praktyczny.</w:t>
            </w:r>
          </w:p>
        </w:tc>
      </w:tr>
      <w:tr w:rsidR="00AC31B6" w:rsidRPr="00660EB6" w14:paraId="371B5B04" w14:textId="77777777" w:rsidTr="00D0211F">
        <w:tc>
          <w:tcPr>
            <w:tcW w:w="3070" w:type="dxa"/>
            <w:tcBorders>
              <w:top w:val="single" w:sz="4" w:space="0" w:color="auto"/>
              <w:left w:val="single" w:sz="4" w:space="0" w:color="auto"/>
              <w:bottom w:val="single" w:sz="4" w:space="0" w:color="auto"/>
              <w:right w:val="single" w:sz="4" w:space="0" w:color="auto"/>
            </w:tcBorders>
            <w:hideMark/>
          </w:tcPr>
          <w:p w14:paraId="66543462" w14:textId="77777777" w:rsidR="00AC31B6" w:rsidRPr="00660EB6" w:rsidRDefault="00AC31B6" w:rsidP="00D0211F">
            <w:pPr>
              <w:rPr>
                <w:rFonts w:ascii="Tahoma" w:eastAsia="Trebuchet MS" w:hAnsi="Tahoma" w:cs="Tahoma"/>
                <w:sz w:val="18"/>
                <w:szCs w:val="18"/>
                <w:lang w:eastAsia="zh-CN"/>
              </w:rPr>
            </w:pPr>
            <w:r w:rsidRPr="00660EB6">
              <w:rPr>
                <w:rFonts w:ascii="Tahoma" w:eastAsia="Trebuchet MS" w:hAnsi="Tahoma" w:cs="Tahoma"/>
                <w:sz w:val="18"/>
                <w:szCs w:val="18"/>
                <w:lang w:eastAsia="zh-CN"/>
              </w:rPr>
              <w:t>3. Dokument potwierdzający realizację zajęć</w:t>
            </w:r>
          </w:p>
        </w:tc>
        <w:tc>
          <w:tcPr>
            <w:tcW w:w="6819" w:type="dxa"/>
            <w:tcBorders>
              <w:top w:val="single" w:sz="4" w:space="0" w:color="auto"/>
              <w:left w:val="single" w:sz="4" w:space="0" w:color="auto"/>
              <w:bottom w:val="single" w:sz="4" w:space="0" w:color="auto"/>
              <w:right w:val="single" w:sz="4" w:space="0" w:color="auto"/>
            </w:tcBorders>
            <w:hideMark/>
          </w:tcPr>
          <w:p w14:paraId="476A8B69" w14:textId="77777777" w:rsidR="00AC31B6" w:rsidRPr="00660EB6" w:rsidRDefault="00AC31B6"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5D7325FE"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numer z rejestru,</w:t>
            </w:r>
          </w:p>
          <w:p w14:paraId="25855BDD"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imię i nazwisko oraz PESEL uczestnika,</w:t>
            </w:r>
          </w:p>
          <w:p w14:paraId="0821F7EB"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nazwę instytucji szkoleniowej przeprowadzającej kurs,</w:t>
            </w:r>
          </w:p>
          <w:p w14:paraId="1A30A28D"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formę i nazwę kursu,</w:t>
            </w:r>
          </w:p>
          <w:p w14:paraId="56D8CD31"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okres trwania kursu,</w:t>
            </w:r>
          </w:p>
          <w:p w14:paraId="5644C610"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miejsce i datę wydania dokumentu,</w:t>
            </w:r>
          </w:p>
          <w:p w14:paraId="276F37EB"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tematy i wymiar godzin zajęć edukacyjnych,</w:t>
            </w:r>
          </w:p>
          <w:p w14:paraId="70C0FF9F" w14:textId="77777777" w:rsidR="00AC31B6" w:rsidRPr="00660EB6" w:rsidRDefault="00AC31B6"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podpis osoby upoważnionej przez instytucję szkoleniową przeprowadzającą szkolenie np. właściciel firmy/prezes</w:t>
            </w:r>
          </w:p>
        </w:tc>
      </w:tr>
      <w:tr w:rsidR="00AC31B6" w:rsidRPr="00660EB6" w14:paraId="0B3CA320" w14:textId="77777777" w:rsidTr="00D0211F">
        <w:tc>
          <w:tcPr>
            <w:tcW w:w="3070" w:type="dxa"/>
            <w:tcBorders>
              <w:top w:val="single" w:sz="4" w:space="0" w:color="auto"/>
              <w:left w:val="single" w:sz="4" w:space="0" w:color="auto"/>
              <w:bottom w:val="single" w:sz="4" w:space="0" w:color="auto"/>
              <w:right w:val="single" w:sz="4" w:space="0" w:color="auto"/>
            </w:tcBorders>
          </w:tcPr>
          <w:p w14:paraId="2F7F83CB" w14:textId="77777777" w:rsidR="00AC31B6" w:rsidRPr="00660EB6" w:rsidRDefault="00AC31B6"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4. Charakterystyka grupy</w:t>
            </w:r>
          </w:p>
          <w:p w14:paraId="49EFC655" w14:textId="77777777" w:rsidR="00AC31B6" w:rsidRPr="00660EB6" w:rsidRDefault="00AC31B6" w:rsidP="00D0211F">
            <w:pPr>
              <w:jc w:val="both"/>
              <w:rPr>
                <w:rFonts w:ascii="Tahoma" w:eastAsia="Trebuchet MS" w:hAnsi="Tahoma" w:cs="Tahoma"/>
                <w:sz w:val="18"/>
                <w:szCs w:val="18"/>
                <w:lang w:eastAsia="zh-CN"/>
              </w:rPr>
            </w:pPr>
          </w:p>
        </w:tc>
        <w:tc>
          <w:tcPr>
            <w:tcW w:w="6819" w:type="dxa"/>
            <w:tcBorders>
              <w:top w:val="single" w:sz="4" w:space="0" w:color="auto"/>
              <w:left w:val="single" w:sz="4" w:space="0" w:color="auto"/>
              <w:bottom w:val="single" w:sz="4" w:space="0" w:color="auto"/>
              <w:right w:val="single" w:sz="4" w:space="0" w:color="auto"/>
            </w:tcBorders>
            <w:hideMark/>
          </w:tcPr>
          <w:p w14:paraId="0E987E94" w14:textId="77777777" w:rsidR="00AC31B6" w:rsidRPr="00660EB6" w:rsidRDefault="00AC31B6" w:rsidP="00D0211F">
            <w:pPr>
              <w:autoSpaceDE w:val="0"/>
              <w:autoSpaceDN w:val="0"/>
              <w:adjustRightInd w:val="0"/>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Uczestnikami będą uczniowie kształcący się w zawodach: </w:t>
            </w:r>
            <w:r w:rsidRPr="00660EB6">
              <w:rPr>
                <w:rFonts w:ascii="Tahoma" w:eastAsia="DejaVuSans" w:hAnsi="Tahoma" w:cs="Tahoma"/>
                <w:sz w:val="18"/>
                <w:szCs w:val="18"/>
              </w:rPr>
              <w:t>technik żywienia i usług gastronomicznych oraz technik hotelarstwa</w:t>
            </w:r>
            <w:r w:rsidRPr="00660EB6">
              <w:rPr>
                <w:rFonts w:ascii="Tahoma" w:eastAsia="Trebuchet MS" w:hAnsi="Tahoma" w:cs="Tahoma"/>
                <w:sz w:val="18"/>
                <w:szCs w:val="18"/>
                <w:lang w:eastAsia="zh-CN"/>
              </w:rPr>
              <w:t xml:space="preserve"> ze szkół z terenu powiatu tarnogórskiego ze szkół z terenu powiatu tarnogórskiego (1 grupa – max. 5 osób </w:t>
            </w:r>
            <w:r w:rsidRPr="00660EB6">
              <w:rPr>
                <w:rFonts w:ascii="Tahoma" w:eastAsia="DejaVuSans" w:hAnsi="Tahoma" w:cs="Tahoma"/>
                <w:sz w:val="18"/>
                <w:szCs w:val="18"/>
              </w:rPr>
              <w:t>z jednego lub kilku podanych zawodów</w:t>
            </w:r>
            <w:r w:rsidRPr="00660EB6">
              <w:rPr>
                <w:rFonts w:ascii="Tahoma" w:eastAsia="Trebuchet MS" w:hAnsi="Tahoma" w:cs="Tahoma"/>
                <w:sz w:val="18"/>
                <w:szCs w:val="18"/>
                <w:lang w:eastAsia="zh-CN"/>
              </w:rPr>
              <w:t xml:space="preserve">). </w:t>
            </w:r>
          </w:p>
        </w:tc>
      </w:tr>
      <w:tr w:rsidR="00AC31B6" w:rsidRPr="00660EB6" w14:paraId="1E548506" w14:textId="77777777" w:rsidTr="00D0211F">
        <w:tc>
          <w:tcPr>
            <w:tcW w:w="3070" w:type="dxa"/>
            <w:tcBorders>
              <w:top w:val="single" w:sz="4" w:space="0" w:color="auto"/>
              <w:left w:val="single" w:sz="4" w:space="0" w:color="auto"/>
              <w:bottom w:val="single" w:sz="4" w:space="0" w:color="auto"/>
              <w:right w:val="single" w:sz="4" w:space="0" w:color="auto"/>
            </w:tcBorders>
          </w:tcPr>
          <w:p w14:paraId="304AAE4F" w14:textId="77777777" w:rsidR="00AC31B6" w:rsidRPr="00660EB6" w:rsidRDefault="00AC31B6" w:rsidP="00D0211F">
            <w:pPr>
              <w:numPr>
                <w:ilvl w:val="0"/>
                <w:numId w:val="67"/>
              </w:num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Obowiązki Wykonawcy</w:t>
            </w:r>
          </w:p>
          <w:p w14:paraId="3C0DE291" w14:textId="77777777" w:rsidR="00AC31B6" w:rsidRPr="00660EB6" w:rsidRDefault="00AC31B6" w:rsidP="00D0211F">
            <w:pPr>
              <w:jc w:val="both"/>
              <w:rPr>
                <w:rFonts w:ascii="Tahoma" w:eastAsia="Trebuchet MS" w:hAnsi="Tahoma" w:cs="Tahoma"/>
                <w:sz w:val="18"/>
                <w:szCs w:val="18"/>
                <w:lang w:eastAsia="zh-CN"/>
              </w:rPr>
            </w:pPr>
          </w:p>
        </w:tc>
        <w:tc>
          <w:tcPr>
            <w:tcW w:w="6819" w:type="dxa"/>
            <w:tcBorders>
              <w:top w:val="single" w:sz="4" w:space="0" w:color="auto"/>
              <w:left w:val="single" w:sz="4" w:space="0" w:color="auto"/>
              <w:bottom w:val="single" w:sz="4" w:space="0" w:color="auto"/>
              <w:right w:val="single" w:sz="4" w:space="0" w:color="auto"/>
            </w:tcBorders>
            <w:hideMark/>
          </w:tcPr>
          <w:p w14:paraId="7BB9B4A8" w14:textId="1ED87D04" w:rsidR="00AC31B6" w:rsidRPr="00660EB6" w:rsidRDefault="00AC31B6"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Zapewnienie </w:t>
            </w:r>
            <w:r>
              <w:rPr>
                <w:rFonts w:ascii="Tahoma" w:eastAsia="Trebuchet MS" w:hAnsi="Tahoma" w:cs="Tahoma"/>
                <w:sz w:val="18"/>
                <w:szCs w:val="18"/>
                <w:lang w:eastAsia="zh-CN"/>
              </w:rPr>
              <w:t xml:space="preserve">miejsca szkolenia oraz </w:t>
            </w:r>
            <w:r w:rsidRPr="00660EB6">
              <w:rPr>
                <w:rFonts w:ascii="Tahoma" w:eastAsia="Trebuchet MS" w:hAnsi="Tahoma" w:cs="Tahoma"/>
                <w:sz w:val="18"/>
                <w:szCs w:val="18"/>
                <w:lang w:eastAsia="zh-CN"/>
              </w:rPr>
              <w:t>specjalistycznego wyposażenia, urządzeń, maszyn, sprzętu i narzędzi niezbędnych do właściwego przeprowadzenia zajęć.</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lastRenderedPageBreak/>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1DA16315"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w:t>
      </w:r>
      <w:r w:rsidR="00D73C64">
        <w:rPr>
          <w:rFonts w:ascii="Tahoma" w:hAnsi="Tahoma" w:cs="Tahoma"/>
          <w:sz w:val="18"/>
          <w:szCs w:val="18"/>
        </w:rPr>
        <w:t>usługi</w:t>
      </w:r>
      <w:r w:rsidRPr="00E573A4">
        <w:rPr>
          <w:rFonts w:ascii="Tahoma" w:hAnsi="Tahoma" w:cs="Tahoma"/>
          <w:sz w:val="18"/>
          <w:szCs w:val="18"/>
        </w:rPr>
        <w:t>, na któr</w:t>
      </w:r>
      <w:r w:rsidR="00D73C64">
        <w:rPr>
          <w:rFonts w:ascii="Tahoma" w:hAnsi="Tahoma" w:cs="Tahoma"/>
          <w:sz w:val="18"/>
          <w:szCs w:val="18"/>
        </w:rPr>
        <w:t>ą</w:t>
      </w:r>
      <w:r w:rsidRPr="00E573A4">
        <w:rPr>
          <w:rFonts w:ascii="Tahoma" w:hAnsi="Tahoma" w:cs="Tahoma"/>
          <w:sz w:val="18"/>
          <w:szCs w:val="18"/>
        </w:rPr>
        <w:t xml:space="preserve"> składana jest oferta</w:t>
      </w:r>
      <w:r w:rsidR="00D73C64">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lastRenderedPageBreak/>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lastRenderedPageBreak/>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7142AFA0"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 xml:space="preserve">Usługa przeprowadzenia </w:t>
      </w:r>
      <w:r w:rsidR="00FC29C7">
        <w:rPr>
          <w:rFonts w:ascii="Tahoma" w:eastAsia="Trebuchet MS" w:hAnsi="Tahoma" w:cs="Tahoma"/>
          <w:b/>
          <w:i/>
          <w:sz w:val="18"/>
          <w:szCs w:val="18"/>
          <w:lang w:eastAsia="zh-CN"/>
        </w:rPr>
        <w:t>Kurs</w:t>
      </w:r>
      <w:r w:rsidR="00D05C89">
        <w:rPr>
          <w:rFonts w:ascii="Tahoma" w:eastAsia="Trebuchet MS" w:hAnsi="Tahoma" w:cs="Tahoma"/>
          <w:b/>
          <w:i/>
          <w:sz w:val="18"/>
          <w:szCs w:val="18"/>
          <w:lang w:eastAsia="zh-CN"/>
        </w:rPr>
        <w:t>u</w:t>
      </w:r>
      <w:r w:rsidR="00FC29C7">
        <w:rPr>
          <w:rFonts w:ascii="Tahoma" w:eastAsia="Trebuchet MS" w:hAnsi="Tahoma" w:cs="Tahoma"/>
          <w:b/>
          <w:i/>
          <w:sz w:val="18"/>
          <w:szCs w:val="18"/>
          <w:lang w:eastAsia="zh-CN"/>
        </w:rPr>
        <w:t xml:space="preserve"> </w:t>
      </w:r>
      <w:proofErr w:type="spellStart"/>
      <w:r w:rsidR="00AC31B6">
        <w:rPr>
          <w:rFonts w:ascii="Tahoma" w:eastAsia="Trebuchet MS" w:hAnsi="Tahoma" w:cs="Tahoma"/>
          <w:b/>
          <w:i/>
          <w:sz w:val="18"/>
          <w:szCs w:val="18"/>
          <w:lang w:eastAsia="zh-CN"/>
        </w:rPr>
        <w:t>sommelier</w:t>
      </w:r>
      <w:r w:rsidR="00D05C89">
        <w:rPr>
          <w:rFonts w:ascii="Tahoma" w:eastAsia="Trebuchet MS" w:hAnsi="Tahoma" w:cs="Tahoma"/>
          <w:b/>
          <w:i/>
          <w:sz w:val="18"/>
          <w:szCs w:val="18"/>
          <w:lang w:eastAsia="zh-CN"/>
        </w:rPr>
        <w:t>skiego</w:t>
      </w:r>
      <w:proofErr w:type="spellEnd"/>
      <w:r w:rsidR="00C70073">
        <w:rPr>
          <w:rFonts w:ascii="Tahoma" w:eastAsia="Trebuchet MS" w:hAnsi="Tahoma" w:cs="Tahoma"/>
          <w:b/>
          <w:i/>
          <w:sz w:val="18"/>
          <w:szCs w:val="18"/>
          <w:lang w:eastAsia="zh-CN"/>
        </w:rPr>
        <w:t xml:space="preserve"> </w:t>
      </w:r>
      <w:r w:rsidR="00D73C64" w:rsidRPr="00D73C64">
        <w:rPr>
          <w:rFonts w:ascii="Tahoma" w:eastAsia="Trebuchet MS" w:hAnsi="Tahoma" w:cs="Tahoma"/>
          <w:b/>
          <w:i/>
          <w:sz w:val="18"/>
          <w:szCs w:val="18"/>
          <w:lang w:eastAsia="zh-CN"/>
        </w:rPr>
        <w:t xml:space="preserve">dla </w:t>
      </w:r>
      <w:r w:rsidR="00AC31B6">
        <w:rPr>
          <w:rFonts w:ascii="Tahoma" w:eastAsia="Trebuchet MS" w:hAnsi="Tahoma" w:cs="Tahoma"/>
          <w:b/>
          <w:i/>
          <w:sz w:val="18"/>
          <w:szCs w:val="18"/>
          <w:lang w:eastAsia="zh-CN"/>
        </w:rPr>
        <w:t>1</w:t>
      </w:r>
      <w:r w:rsidR="00D73C64" w:rsidRPr="00D73C64">
        <w:rPr>
          <w:rFonts w:ascii="Tahoma" w:eastAsia="Trebuchet MS" w:hAnsi="Tahoma" w:cs="Tahoma"/>
          <w:b/>
          <w:i/>
          <w:sz w:val="18"/>
          <w:szCs w:val="18"/>
          <w:lang w:eastAsia="zh-CN"/>
        </w:rPr>
        <w:t xml:space="preserve"> grup</w:t>
      </w:r>
      <w:r w:rsidR="00AC31B6">
        <w:rPr>
          <w:rFonts w:ascii="Tahoma" w:eastAsia="Trebuchet MS" w:hAnsi="Tahoma" w:cs="Tahoma"/>
          <w:b/>
          <w:i/>
          <w:sz w:val="18"/>
          <w:szCs w:val="18"/>
          <w:lang w:eastAsia="zh-CN"/>
        </w:rPr>
        <w:t>y</w:t>
      </w:r>
      <w:r w:rsidR="00D73C64" w:rsidRPr="00D73C64">
        <w:rPr>
          <w:rFonts w:ascii="Tahoma" w:eastAsia="Trebuchet MS" w:hAnsi="Tahoma" w:cs="Tahoma"/>
          <w:b/>
          <w:i/>
          <w:sz w:val="18"/>
          <w:szCs w:val="18"/>
          <w:lang w:eastAsia="zh-CN"/>
        </w:rPr>
        <w:t xml:space="preserve"> uczestników</w:t>
      </w:r>
      <w:r w:rsidR="00EC18C4" w:rsidRPr="00D73C64">
        <w:rPr>
          <w:rFonts w:ascii="Tahoma" w:eastAsia="Trebuchet MS" w:hAnsi="Tahoma" w:cs="Tahoma"/>
          <w:b/>
          <w:i/>
          <w:sz w:val="18"/>
          <w:szCs w:val="18"/>
          <w:lang w:eastAsia="zh-CN"/>
        </w:rPr>
        <w:t xml:space="preserve">. </w:t>
      </w:r>
      <w:r w:rsidR="00EC18C4">
        <w:rPr>
          <w:rFonts w:ascii="Tahoma" w:eastAsia="Trebuchet MS" w:hAnsi="Tahoma" w:cs="Tahoma"/>
          <w:b/>
          <w:i/>
          <w:sz w:val="18"/>
          <w:szCs w:val="18"/>
          <w:lang w:eastAsia="zh-CN"/>
        </w:rPr>
        <w:t>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B62D45">
        <w:rPr>
          <w:rFonts w:ascii="Tahoma" w:hAnsi="Tahoma" w:cs="Tahoma"/>
          <w:b/>
          <w:i/>
          <w:sz w:val="18"/>
          <w:szCs w:val="18"/>
        </w:rPr>
        <w:t>3</w:t>
      </w:r>
      <w:r w:rsidR="00AC31B6">
        <w:rPr>
          <w:rFonts w:ascii="Tahoma" w:hAnsi="Tahoma" w:cs="Tahoma"/>
          <w:b/>
          <w:i/>
          <w:sz w:val="18"/>
          <w:szCs w:val="18"/>
        </w:rPr>
        <w:t>8</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01C9EC46" w14:textId="619E78BA" w:rsidR="00AC31B6" w:rsidRDefault="00042BBF" w:rsidP="00AC31B6">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00AC31B6" w:rsidRPr="00EC18C4">
        <w:rPr>
          <w:rFonts w:ascii="Tahoma" w:eastAsia="Trebuchet MS" w:hAnsi="Tahoma" w:cs="Tahoma"/>
          <w:b/>
          <w:i/>
          <w:sz w:val="18"/>
          <w:szCs w:val="18"/>
          <w:lang w:eastAsia="zh-CN"/>
        </w:rPr>
        <w:t xml:space="preserve">Usługa przeprowadzenia </w:t>
      </w:r>
      <w:r w:rsidR="00AC31B6">
        <w:rPr>
          <w:rFonts w:ascii="Tahoma" w:eastAsia="Trebuchet MS" w:hAnsi="Tahoma" w:cs="Tahoma"/>
          <w:b/>
          <w:i/>
          <w:sz w:val="18"/>
          <w:szCs w:val="18"/>
          <w:lang w:eastAsia="zh-CN"/>
        </w:rPr>
        <w:t>Kurs</w:t>
      </w:r>
      <w:r w:rsidR="00D05C89">
        <w:rPr>
          <w:rFonts w:ascii="Tahoma" w:eastAsia="Trebuchet MS" w:hAnsi="Tahoma" w:cs="Tahoma"/>
          <w:b/>
          <w:i/>
          <w:sz w:val="18"/>
          <w:szCs w:val="18"/>
          <w:lang w:eastAsia="zh-CN"/>
        </w:rPr>
        <w:t>u</w:t>
      </w:r>
      <w:r w:rsidR="00AC31B6">
        <w:rPr>
          <w:rFonts w:ascii="Tahoma" w:eastAsia="Trebuchet MS" w:hAnsi="Tahoma" w:cs="Tahoma"/>
          <w:b/>
          <w:i/>
          <w:sz w:val="18"/>
          <w:szCs w:val="18"/>
          <w:lang w:eastAsia="zh-CN"/>
        </w:rPr>
        <w:t xml:space="preserve"> </w:t>
      </w:r>
      <w:proofErr w:type="spellStart"/>
      <w:r w:rsidR="00AC31B6">
        <w:rPr>
          <w:rFonts w:ascii="Tahoma" w:eastAsia="Trebuchet MS" w:hAnsi="Tahoma" w:cs="Tahoma"/>
          <w:b/>
          <w:i/>
          <w:sz w:val="18"/>
          <w:szCs w:val="18"/>
          <w:lang w:eastAsia="zh-CN"/>
        </w:rPr>
        <w:t>sommelier</w:t>
      </w:r>
      <w:r w:rsidR="00D05C89">
        <w:rPr>
          <w:rFonts w:ascii="Tahoma" w:eastAsia="Trebuchet MS" w:hAnsi="Tahoma" w:cs="Tahoma"/>
          <w:b/>
          <w:i/>
          <w:sz w:val="18"/>
          <w:szCs w:val="18"/>
          <w:lang w:eastAsia="zh-CN"/>
        </w:rPr>
        <w:t>skiego</w:t>
      </w:r>
      <w:proofErr w:type="spellEnd"/>
      <w:r w:rsidR="00AC31B6">
        <w:rPr>
          <w:rFonts w:ascii="Tahoma" w:eastAsia="Trebuchet MS" w:hAnsi="Tahoma" w:cs="Tahoma"/>
          <w:b/>
          <w:i/>
          <w:sz w:val="18"/>
          <w:szCs w:val="18"/>
          <w:lang w:eastAsia="zh-CN"/>
        </w:rPr>
        <w:t xml:space="preserve"> </w:t>
      </w:r>
      <w:r w:rsidR="00AC31B6" w:rsidRPr="00D73C64">
        <w:rPr>
          <w:rFonts w:ascii="Tahoma" w:eastAsia="Trebuchet MS" w:hAnsi="Tahoma" w:cs="Tahoma"/>
          <w:b/>
          <w:i/>
          <w:sz w:val="18"/>
          <w:szCs w:val="18"/>
          <w:lang w:eastAsia="zh-CN"/>
        </w:rPr>
        <w:t xml:space="preserve">dla </w:t>
      </w:r>
      <w:r w:rsidR="00AC31B6">
        <w:rPr>
          <w:rFonts w:ascii="Tahoma" w:eastAsia="Trebuchet MS" w:hAnsi="Tahoma" w:cs="Tahoma"/>
          <w:b/>
          <w:i/>
          <w:sz w:val="18"/>
          <w:szCs w:val="18"/>
          <w:lang w:eastAsia="zh-CN"/>
        </w:rPr>
        <w:t>1</w:t>
      </w:r>
      <w:r w:rsidR="00AC31B6" w:rsidRPr="00D73C64">
        <w:rPr>
          <w:rFonts w:ascii="Tahoma" w:eastAsia="Trebuchet MS" w:hAnsi="Tahoma" w:cs="Tahoma"/>
          <w:b/>
          <w:i/>
          <w:sz w:val="18"/>
          <w:szCs w:val="18"/>
          <w:lang w:eastAsia="zh-CN"/>
        </w:rPr>
        <w:t xml:space="preserve"> grup</w:t>
      </w:r>
      <w:r w:rsidR="00AC31B6">
        <w:rPr>
          <w:rFonts w:ascii="Tahoma" w:eastAsia="Trebuchet MS" w:hAnsi="Tahoma" w:cs="Tahoma"/>
          <w:b/>
          <w:i/>
          <w:sz w:val="18"/>
          <w:szCs w:val="18"/>
          <w:lang w:eastAsia="zh-CN"/>
        </w:rPr>
        <w:t>y</w:t>
      </w:r>
      <w:r w:rsidR="00AC31B6" w:rsidRPr="00D73C64">
        <w:rPr>
          <w:rFonts w:ascii="Tahoma" w:eastAsia="Trebuchet MS" w:hAnsi="Tahoma" w:cs="Tahoma"/>
          <w:b/>
          <w:i/>
          <w:sz w:val="18"/>
          <w:szCs w:val="18"/>
          <w:lang w:eastAsia="zh-CN"/>
        </w:rPr>
        <w:t xml:space="preserve"> uczestników. </w:t>
      </w:r>
      <w:r w:rsidR="00AC31B6">
        <w:rPr>
          <w:rFonts w:ascii="Tahoma" w:eastAsia="Trebuchet MS" w:hAnsi="Tahoma" w:cs="Tahoma"/>
          <w:b/>
          <w:i/>
          <w:sz w:val="18"/>
          <w:szCs w:val="18"/>
          <w:lang w:eastAsia="zh-CN"/>
        </w:rPr>
        <w:t>Z</w:t>
      </w:r>
      <w:r w:rsidR="00AC31B6" w:rsidRPr="00EC18C4">
        <w:rPr>
          <w:rFonts w:ascii="Tahoma" w:hAnsi="Tahoma" w:cs="Tahoma"/>
          <w:b/>
          <w:i/>
          <w:color w:val="000000"/>
          <w:sz w:val="18"/>
          <w:szCs w:val="18"/>
        </w:rPr>
        <w:t xml:space="preserve">apytanie </w:t>
      </w:r>
      <w:r w:rsidR="00AC31B6" w:rsidRPr="00EC18C4">
        <w:rPr>
          <w:rFonts w:ascii="Tahoma" w:hAnsi="Tahoma" w:cs="Tahoma"/>
          <w:b/>
          <w:i/>
          <w:sz w:val="18"/>
          <w:szCs w:val="18"/>
        </w:rPr>
        <w:t xml:space="preserve">nr </w:t>
      </w:r>
      <w:r w:rsidR="00AC31B6">
        <w:rPr>
          <w:rFonts w:ascii="Tahoma" w:hAnsi="Tahoma" w:cs="Tahoma"/>
          <w:b/>
          <w:i/>
          <w:sz w:val="18"/>
          <w:szCs w:val="18"/>
        </w:rPr>
        <w:t>38</w:t>
      </w:r>
      <w:r w:rsidR="00AC31B6" w:rsidRPr="00EC18C4">
        <w:rPr>
          <w:rFonts w:ascii="Tahoma" w:hAnsi="Tahoma" w:cs="Tahoma"/>
          <w:b/>
          <w:i/>
          <w:sz w:val="18"/>
          <w:szCs w:val="18"/>
        </w:rPr>
        <w:t>/PASUSZ/FRDL</w:t>
      </w:r>
      <w:r w:rsidR="00AC31B6" w:rsidRPr="00EC18C4">
        <w:rPr>
          <w:rFonts w:ascii="Tahoma" w:hAnsi="Tahoma" w:cs="Tahoma"/>
          <w:sz w:val="18"/>
          <w:szCs w:val="18"/>
        </w:rPr>
        <w:t xml:space="preserve">. </w:t>
      </w:r>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51609448"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2A4AE6">
        <w:rPr>
          <w:rFonts w:ascii="Tahoma" w:hAnsi="Tahoma" w:cs="Tahoma"/>
          <w:b/>
          <w:sz w:val="18"/>
          <w:szCs w:val="18"/>
        </w:rPr>
        <w:t>22</w:t>
      </w:r>
      <w:r w:rsidR="00EC18C4">
        <w:rPr>
          <w:rFonts w:ascii="Tahoma" w:hAnsi="Tahoma" w:cs="Tahoma"/>
          <w:b/>
          <w:sz w:val="18"/>
          <w:szCs w:val="18"/>
        </w:rPr>
        <w:t xml:space="preserve"> listopada</w:t>
      </w:r>
      <w:r w:rsidR="001F5EEC" w:rsidRPr="00660EB6">
        <w:rPr>
          <w:rFonts w:ascii="Tahoma" w:hAnsi="Tahoma" w:cs="Tahoma"/>
          <w:b/>
          <w:sz w:val="18"/>
          <w:szCs w:val="18"/>
        </w:rPr>
        <w:t xml:space="preserve"> </w:t>
      </w:r>
      <w:r w:rsidR="00B172EB" w:rsidRPr="00660EB6">
        <w:rPr>
          <w:rFonts w:ascii="Tahoma" w:hAnsi="Tahoma" w:cs="Tahoma"/>
          <w:b/>
          <w:sz w:val="18"/>
          <w:szCs w:val="18"/>
        </w:rPr>
        <w:t>20</w:t>
      </w:r>
      <w:r w:rsidR="001F5EEC" w:rsidRPr="00660EB6">
        <w:rPr>
          <w:rFonts w:ascii="Tahoma" w:hAnsi="Tahoma" w:cs="Tahoma"/>
          <w:b/>
          <w:sz w:val="18"/>
          <w:szCs w:val="18"/>
        </w:rPr>
        <w:t>21</w:t>
      </w:r>
      <w:r w:rsidR="00F962BF" w:rsidRPr="00660EB6">
        <w:rPr>
          <w:rFonts w:ascii="Tahoma" w:hAnsi="Tahoma" w:cs="Tahoma"/>
          <w:b/>
          <w:sz w:val="18"/>
          <w:szCs w:val="18"/>
        </w:rPr>
        <w:t xml:space="preserve"> roku</w:t>
      </w:r>
      <w:r w:rsidR="007413AC" w:rsidRPr="00660EB6">
        <w:rPr>
          <w:rFonts w:ascii="Tahoma" w:hAnsi="Tahoma" w:cs="Tahoma"/>
          <w:b/>
          <w:sz w:val="18"/>
          <w:szCs w:val="18"/>
        </w:rPr>
        <w:t xml:space="preserve"> </w:t>
      </w:r>
      <w:r w:rsidR="001F5EEC" w:rsidRPr="00660EB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lastRenderedPageBreak/>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2.</w:t>
      </w:r>
      <w:r w:rsidRPr="000A4868">
        <w:rPr>
          <w:rFonts w:ascii="Tahoma" w:hAnsi="Tahoma" w:cs="Tahoma"/>
          <w:sz w:val="18"/>
          <w:szCs w:val="18"/>
        </w:rPr>
        <w:tab/>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lastRenderedPageBreak/>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857B" w16cex:dateUtc="2021-10-25T17:35:00Z"/>
  <w16cex:commentExtensible w16cex:durableId="252185C1" w16cex:dateUtc="2021-10-25T17:36:00Z"/>
  <w16cex:commentExtensible w16cex:durableId="252185FD" w16cex:dateUtc="2021-10-25T17:37:00Z"/>
  <w16cex:commentExtensible w16cex:durableId="25218657" w16cex:dateUtc="2021-10-25T17:39:00Z"/>
  <w16cex:commentExtensible w16cex:durableId="2521866C" w16cex:dateUtc="2021-10-25T17:39:00Z"/>
  <w16cex:commentExtensible w16cex:durableId="252186BB" w16cex:dateUtc="2021-10-25T17:40:00Z"/>
  <w16cex:commentExtensible w16cex:durableId="2521871C" w16cex:dateUtc="2021-10-25T17:42:00Z"/>
  <w16cex:commentExtensible w16cex:durableId="252187B5" w16cex:dateUtc="2021-10-25T17:44:00Z"/>
  <w16cex:commentExtensible w16cex:durableId="252187EF" w16cex:dateUtc="2021-10-25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E75AE" w14:textId="77777777" w:rsidR="0025123F" w:rsidRDefault="0025123F" w:rsidP="00D66D35">
      <w:r>
        <w:separator/>
      </w:r>
    </w:p>
  </w:endnote>
  <w:endnote w:type="continuationSeparator" w:id="0">
    <w:p w14:paraId="35AB1282" w14:textId="77777777" w:rsidR="0025123F" w:rsidRDefault="0025123F"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2CAB5" w14:textId="77777777" w:rsidR="0025123F" w:rsidRDefault="0025123F" w:rsidP="00D66D35">
      <w:r>
        <w:separator/>
      </w:r>
    </w:p>
  </w:footnote>
  <w:footnote w:type="continuationSeparator" w:id="0">
    <w:p w14:paraId="6C9E5C31" w14:textId="77777777" w:rsidR="0025123F" w:rsidRDefault="0025123F"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1000DA"/>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313D"/>
    <w:rsid w:val="001A375F"/>
    <w:rsid w:val="001A3F03"/>
    <w:rsid w:val="001A57FE"/>
    <w:rsid w:val="001B024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3840"/>
    <w:rsid w:val="001F5EEC"/>
    <w:rsid w:val="001F60E4"/>
    <w:rsid w:val="001F617E"/>
    <w:rsid w:val="0020041D"/>
    <w:rsid w:val="00200F5E"/>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5FE7"/>
    <w:rsid w:val="00246A25"/>
    <w:rsid w:val="0024700D"/>
    <w:rsid w:val="0025123F"/>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4538"/>
    <w:rsid w:val="002A4AE6"/>
    <w:rsid w:val="002A5CB1"/>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50B"/>
    <w:rsid w:val="004B5720"/>
    <w:rsid w:val="004B5A6A"/>
    <w:rsid w:val="004B7E9B"/>
    <w:rsid w:val="004C04FD"/>
    <w:rsid w:val="004C129D"/>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432F"/>
    <w:rsid w:val="0053611E"/>
    <w:rsid w:val="00536952"/>
    <w:rsid w:val="00537766"/>
    <w:rsid w:val="00537B24"/>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AD8"/>
    <w:rsid w:val="005E2D3D"/>
    <w:rsid w:val="005E5491"/>
    <w:rsid w:val="005E5D5D"/>
    <w:rsid w:val="005E5E6A"/>
    <w:rsid w:val="005E77E5"/>
    <w:rsid w:val="005E78C1"/>
    <w:rsid w:val="005F085D"/>
    <w:rsid w:val="005F1225"/>
    <w:rsid w:val="005F1305"/>
    <w:rsid w:val="005F26B0"/>
    <w:rsid w:val="005F553A"/>
    <w:rsid w:val="005F5C5B"/>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6262"/>
    <w:rsid w:val="0066745D"/>
    <w:rsid w:val="00671B4E"/>
    <w:rsid w:val="00673336"/>
    <w:rsid w:val="00676121"/>
    <w:rsid w:val="006801DD"/>
    <w:rsid w:val="0068198F"/>
    <w:rsid w:val="00682E67"/>
    <w:rsid w:val="0068548D"/>
    <w:rsid w:val="00687322"/>
    <w:rsid w:val="00692BC4"/>
    <w:rsid w:val="0069378E"/>
    <w:rsid w:val="00694425"/>
    <w:rsid w:val="006960E9"/>
    <w:rsid w:val="00697990"/>
    <w:rsid w:val="006A0CEC"/>
    <w:rsid w:val="006A12E8"/>
    <w:rsid w:val="006A2B6C"/>
    <w:rsid w:val="006A345E"/>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01167"/>
    <w:rsid w:val="00711674"/>
    <w:rsid w:val="00711A04"/>
    <w:rsid w:val="00712EAC"/>
    <w:rsid w:val="0071326D"/>
    <w:rsid w:val="0071387B"/>
    <w:rsid w:val="00716178"/>
    <w:rsid w:val="007164F3"/>
    <w:rsid w:val="0071723E"/>
    <w:rsid w:val="00717560"/>
    <w:rsid w:val="007177B5"/>
    <w:rsid w:val="00717B57"/>
    <w:rsid w:val="007205D9"/>
    <w:rsid w:val="007219B0"/>
    <w:rsid w:val="00723078"/>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A29"/>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50B"/>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695D"/>
    <w:rsid w:val="00987A97"/>
    <w:rsid w:val="0099012E"/>
    <w:rsid w:val="00990344"/>
    <w:rsid w:val="009914F8"/>
    <w:rsid w:val="009919EB"/>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1B6"/>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50DD"/>
    <w:rsid w:val="00B35C95"/>
    <w:rsid w:val="00B3653A"/>
    <w:rsid w:val="00B36787"/>
    <w:rsid w:val="00B36B8E"/>
    <w:rsid w:val="00B376A4"/>
    <w:rsid w:val="00B37771"/>
    <w:rsid w:val="00B4098E"/>
    <w:rsid w:val="00B411AA"/>
    <w:rsid w:val="00B41603"/>
    <w:rsid w:val="00B41C14"/>
    <w:rsid w:val="00B445FD"/>
    <w:rsid w:val="00B44D83"/>
    <w:rsid w:val="00B529D0"/>
    <w:rsid w:val="00B53060"/>
    <w:rsid w:val="00B535E8"/>
    <w:rsid w:val="00B54BCB"/>
    <w:rsid w:val="00B55D96"/>
    <w:rsid w:val="00B560B3"/>
    <w:rsid w:val="00B57A9E"/>
    <w:rsid w:val="00B6030F"/>
    <w:rsid w:val="00B6120A"/>
    <w:rsid w:val="00B62D45"/>
    <w:rsid w:val="00B6389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0073"/>
    <w:rsid w:val="00C71090"/>
    <w:rsid w:val="00C710B9"/>
    <w:rsid w:val="00C75D42"/>
    <w:rsid w:val="00C76C57"/>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05C89"/>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3C64"/>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1FF"/>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D2"/>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29C7"/>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99"/>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bazakonkurencyjno&#347;ci.funduszeeuropejskie.gov.pl" TargetMode="Externa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DFC6F-AD5E-4719-8433-98366039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3671</Words>
  <Characters>22027</Characters>
  <Application>Microsoft Office Word</Application>
  <DocSecurity>0</DocSecurity>
  <Lines>183</Lines>
  <Paragraphs>51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25647</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7</cp:revision>
  <cp:lastPrinted>2021-04-02T10:02:00Z</cp:lastPrinted>
  <dcterms:created xsi:type="dcterms:W3CDTF">2021-11-11T21:55:00Z</dcterms:created>
  <dcterms:modified xsi:type="dcterms:W3CDTF">2021-11-12T12:24:00Z</dcterms:modified>
</cp:coreProperties>
</file>