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UMOWA Nr…./FORUM WBiP/202</w:t>
      </w:r>
      <w:r w:rsidDel="00000000" w:rsidR="00000000" w:rsidRPr="00000000">
        <w:rPr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76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Umowa zawarta dniu……………………, pomiędzy……..........................................................................................................  z siedzibą w …………………………………………………………………………………………………………….NIP:……………………………………………………………………….  zwanym  w  treści  umowy  „Zleceniodawcą”, reprezentowanym przez ……………………..……………………………………………………………………………………………………………………………………………………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Fundacją Rozwoju Demokracji Lokalnej im. Jerzego Regulskiego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 Warszawie z siedzibą przy ul. E. Jelinka 6, 01-646 Warszawa, wpis do Krajowego Rejestru Sądowego - Nr ewidencyjny 0000052000, REGON 002006030, NIP: 522- 000-18-95, zwanym w dalszej treści umowy „Zleceniobiorcą”, reprezentowaną przez Michała Wójcika, Dyrektora Fundacji Rozwoju Demokracji Lokalnej Centrum Mazowsze.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Zleceniobiorca zobowiązuje do organizacji szkoleń dla Wójta/Burmistrza/Prezydenta wskazanego w imiennej deklaracji członkowskiej Forum Wójtów Burmistrzów i Prezydentów stanowiącej załącznik nr 1 do niniejszej umowy. Szkolenia realizowane będą w ramach kształcenia ustawicznego Forum Wójtów, Burmistrzów i Prezydentów Samorządów Terytorialnych Województwa Mazowieckiego przy FRDL Centrum Mazowsze w Warszawie.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Poprzez kształcenie ustawiczne należy rozumieć organizację szkoleń na przestrzeni jednego roku kalendarzowego, obejmujących: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Szkolenie jednodniowe w pierwszym kwartale roku.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Szkolenie dwudniowe w drugim kwartale roku.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Szkolenie dwudniowe w trzecim kwartale roku.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Szkolenie jednodniowe w czwartym kwartale roku.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3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Zleceniobiorca zobowiązany jest do przesyłania Zleceniodawcy zaproszenia na dane szkolenie z podaniem terminu, programu i miejsca szkolenia.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Zleceniodawca zobowiązuje się do potwierdzenia uczestnictwa Wójta/ Burmistrza/Prezydenta poprzez przesłanie deklaracji uczestnictwa w każdym ze szkoleń.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Zleceniodawca zastrzega sobie prawo do rezygnacji z proponowanego przez Zleceniobiorcę szkolenia. W takim przypadku Zleceniodawcy przysługuje prawo delegowania innego pracownika na dane szkolenie oraz dostęp do strefy wiedzy Forum Wójtów/Burmistrzów i Prezydentów w której dostępne będą dokumenty związane z </w:t>
      </w:r>
      <w:r w:rsidDel="00000000" w:rsidR="00000000" w:rsidRPr="00000000">
        <w:rPr>
          <w:sz w:val="20"/>
          <w:szCs w:val="20"/>
          <w:rtl w:val="0"/>
        </w:rPr>
        <w:t xml:space="preserve">realizowanym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szkoleniem, w tym materiały szkoleniowe i wzory dokumentów.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142" w:right="-454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Zleceniobiorca wykonywać będzie zlecenie w okresie od 2 stycznia 202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r. do 31 grudnia 20.. roku.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Umowa ulega przedłużeniu na czas nieoznaczony o ile nie zostanie wypowiedziana zgodnie z § 7.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5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Zleceniobiorcy za wykonanie czynności określonych w § 1 i 2 przysługuje wynagrodzenie łączne w kwocie brutto 1800 złotych/słownie: tysiąc osiemset złotych.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Wynagrodzenie o którym mowa w pkt. 1, będzie płatne na podstawie otrzymanej faktury: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43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kwocie 300zł – do dnia </w:t>
      </w:r>
      <w:r w:rsidDel="00000000" w:rsidR="00000000" w:rsidRPr="00000000">
        <w:rPr>
          <w:sz w:val="20"/>
          <w:szCs w:val="20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lutego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43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kwocie 600zł – do dnia </w:t>
      </w:r>
      <w:r w:rsidDel="00000000" w:rsidR="00000000" w:rsidRPr="00000000">
        <w:rPr>
          <w:sz w:val="20"/>
          <w:szCs w:val="20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43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kwocie 600zł – do 31 </w:t>
      </w:r>
      <w:r w:rsidDel="00000000" w:rsidR="00000000" w:rsidRPr="00000000">
        <w:rPr>
          <w:sz w:val="20"/>
          <w:szCs w:val="20"/>
          <w:rtl w:val="0"/>
        </w:rPr>
        <w:t xml:space="preserve">sierpnia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43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kwocie 300zł – do 31 </w:t>
      </w:r>
      <w:r w:rsidDel="00000000" w:rsidR="00000000" w:rsidRPr="00000000">
        <w:rPr>
          <w:sz w:val="20"/>
          <w:szCs w:val="20"/>
          <w:rtl w:val="0"/>
        </w:rPr>
        <w:t xml:space="preserve">listopada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szkoleń dwudniowych, o których mowa w § 2 pkt. 2 i 3, Zleceniodawca korzystający z noclegu, całodniowego wyżywienia oraz innych płatnych usług będzie zobowiązany do pokrycia dodatkowych kosztów uczestnictwa w spotkaniu.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Koszty, o których mowa w § 5 pkt. 3, zostaną szczegółowo przesłane wraz z zaproszeniem na dane szkolenie.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77" w:right="-4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Wynagrodzenie o którym mowa w ust. 1 przysługuje Zleceniobiorcy niezależnie od obecności Wójta/Burmistrza/Prezydenta na przygotowanym szkoleniu.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6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Wynagrodzenie będzie płatne przelewem na rachunek bankowy Zleceniobiorcy wskazany na fakturze VAT w terminie 21 dni od daty otrzymania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7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Rozwiązanie niniejszej umowy przez Zleceniodawcę może nastąpić jedynie z zachowaniem 3-miesięcznego okresu wypowiedzenia.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8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Zleceniobiorca ma obowiązek ochrony danych osobowych Zleceniodawcy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L119/1).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9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sprawach nie uregulowanych postanowieniami umowy zastosowanie mieć będą przepisy Kodeksu cywilnego.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Ewentualne spory, mogące wyniknąć na tle wykonania umowy będą rozstrzygane przez sąd właściwy miejscowo dla siedziby Zleceniobiorcy.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11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Wszelkie zmiany postanowień niniejszej umowy pod rygorem nieważności wymagają formy pisemnej.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12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Umowę sporządzono w dwóch jednobrzmiących egzemplarzach, po jednym dla każdej ze stron.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360" w:lineRule="auto"/>
        <w:ind w:left="-283" w:right="-454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ZLECENIOBIORCA:</w:t>
        <w:tab/>
        <w:t xml:space="preserve">                                                                                                                                                      ZLECENIODAWCA: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702" w:left="993" w:right="991" w:header="10" w:footer="2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  <w:rtl w:val="0"/>
      </w:rPr>
      <w:t xml:space="preserve">Fundacja Rozwoju                                      Biuro Fundacji                                             +48 666 661 039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  <w:rtl w:val="0"/>
      </w:rPr>
      <w:t xml:space="preserve">Demokracji Lokalnej                                  ul</w:t>
    </w:r>
    <w:r w:rsidDel="00000000" w:rsidR="00000000" w:rsidRPr="00000000">
      <w:rPr>
        <w:rFonts w:ascii="Montserrat" w:cs="Montserrat" w:eastAsia="Montserrat" w:hAnsi="Montserrat"/>
        <w:color w:val="000f9f"/>
        <w:sz w:val="20"/>
        <w:szCs w:val="20"/>
        <w:rtl w:val="0"/>
      </w:rPr>
      <w:t xml:space="preserve">. 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  <w:rtl w:val="0"/>
      </w:rPr>
      <w:t xml:space="preserve">Jelinka 6                                                   szkolenia@frdl.org.pl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  <w:rtl w:val="0"/>
      </w:rPr>
      <w:t xml:space="preserve">Centrum Mazowsze                                   01-646 Warszawa </w:t>
    </w:r>
    <w:r w:rsidDel="00000000" w:rsidR="00000000" w:rsidRPr="00000000">
      <w:rPr>
        <w:rFonts w:ascii="Montserrat" w:cs="Montserrat" w:eastAsia="Montserrat" w:hAnsi="Montserrat"/>
        <w:color w:val="000f9f"/>
        <w:sz w:val="20"/>
        <w:szCs w:val="20"/>
        <w:rtl w:val="0"/>
      </w:rPr>
      <w:t xml:space="preserve">                                        w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f9f"/>
        <w:sz w:val="20"/>
        <w:szCs w:val="20"/>
        <w:u w:val="none"/>
        <w:shd w:fill="auto" w:val="clear"/>
        <w:vertAlign w:val="baseline"/>
        <w:rtl w:val="0"/>
      </w:rPr>
      <w:t xml:space="preserve">ww.frdl.mazowsze.pl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720" cy="100076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0007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37" w:hanging="360"/>
      </w:pPr>
      <w:rPr/>
    </w:lvl>
    <w:lvl w:ilvl="1">
      <w:start w:val="1"/>
      <w:numFmt w:val="lowerLetter"/>
      <w:lvlText w:val="%2."/>
      <w:lvlJc w:val="left"/>
      <w:pPr>
        <w:ind w:left="1157" w:hanging="360"/>
      </w:pPr>
      <w:rPr/>
    </w:lvl>
    <w:lvl w:ilvl="2">
      <w:start w:val="1"/>
      <w:numFmt w:val="lowerRoman"/>
      <w:lvlText w:val="%3."/>
      <w:lvlJc w:val="right"/>
      <w:pPr>
        <w:ind w:left="1877" w:hanging="180"/>
      </w:pPr>
      <w:rPr/>
    </w:lvl>
    <w:lvl w:ilvl="3">
      <w:start w:val="1"/>
      <w:numFmt w:val="decimal"/>
      <w:lvlText w:val="%4."/>
      <w:lvlJc w:val="left"/>
      <w:pPr>
        <w:ind w:left="2597" w:hanging="360"/>
      </w:pPr>
      <w:rPr/>
    </w:lvl>
    <w:lvl w:ilvl="4">
      <w:start w:val="1"/>
      <w:numFmt w:val="lowerLetter"/>
      <w:lvlText w:val="%5."/>
      <w:lvlJc w:val="left"/>
      <w:pPr>
        <w:ind w:left="3317" w:hanging="360"/>
      </w:pPr>
      <w:rPr/>
    </w:lvl>
    <w:lvl w:ilvl="5">
      <w:start w:val="1"/>
      <w:numFmt w:val="lowerRoman"/>
      <w:lvlText w:val="%6."/>
      <w:lvlJc w:val="right"/>
      <w:pPr>
        <w:ind w:left="4037" w:hanging="180"/>
      </w:pPr>
      <w:rPr/>
    </w:lvl>
    <w:lvl w:ilvl="6">
      <w:start w:val="1"/>
      <w:numFmt w:val="decimal"/>
      <w:lvlText w:val="%7."/>
      <w:lvlJc w:val="left"/>
      <w:pPr>
        <w:ind w:left="4757" w:hanging="360"/>
      </w:pPr>
      <w:rPr/>
    </w:lvl>
    <w:lvl w:ilvl="7">
      <w:start w:val="1"/>
      <w:numFmt w:val="lowerLetter"/>
      <w:lvlText w:val="%8."/>
      <w:lvlJc w:val="left"/>
      <w:pPr>
        <w:ind w:left="5477" w:hanging="360"/>
      </w:pPr>
      <w:rPr/>
    </w:lvl>
    <w:lvl w:ilvl="8">
      <w:start w:val="1"/>
      <w:numFmt w:val="lowerRoman"/>
      <w:lvlText w:val="%9."/>
      <w:lvlJc w:val="right"/>
      <w:pPr>
        <w:ind w:left="6197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437" w:hanging="360"/>
      </w:pPr>
      <w:rPr/>
    </w:lvl>
    <w:lvl w:ilvl="1">
      <w:start w:val="1"/>
      <w:numFmt w:val="lowerLetter"/>
      <w:lvlText w:val="%2."/>
      <w:lvlJc w:val="left"/>
      <w:pPr>
        <w:ind w:left="1157" w:hanging="360"/>
      </w:pPr>
      <w:rPr/>
    </w:lvl>
    <w:lvl w:ilvl="2">
      <w:start w:val="1"/>
      <w:numFmt w:val="lowerRoman"/>
      <w:lvlText w:val="%3."/>
      <w:lvlJc w:val="right"/>
      <w:pPr>
        <w:ind w:left="1877" w:hanging="180"/>
      </w:pPr>
      <w:rPr/>
    </w:lvl>
    <w:lvl w:ilvl="3">
      <w:start w:val="1"/>
      <w:numFmt w:val="decimal"/>
      <w:lvlText w:val="%4."/>
      <w:lvlJc w:val="left"/>
      <w:pPr>
        <w:ind w:left="2597" w:hanging="360"/>
      </w:pPr>
      <w:rPr/>
    </w:lvl>
    <w:lvl w:ilvl="4">
      <w:start w:val="1"/>
      <w:numFmt w:val="lowerLetter"/>
      <w:lvlText w:val="%5."/>
      <w:lvlJc w:val="left"/>
      <w:pPr>
        <w:ind w:left="3317" w:hanging="360"/>
      </w:pPr>
      <w:rPr/>
    </w:lvl>
    <w:lvl w:ilvl="5">
      <w:start w:val="1"/>
      <w:numFmt w:val="lowerRoman"/>
      <w:lvlText w:val="%6."/>
      <w:lvlJc w:val="right"/>
      <w:pPr>
        <w:ind w:left="4037" w:hanging="180"/>
      </w:pPr>
      <w:rPr/>
    </w:lvl>
    <w:lvl w:ilvl="6">
      <w:start w:val="1"/>
      <w:numFmt w:val="decimal"/>
      <w:lvlText w:val="%7."/>
      <w:lvlJc w:val="left"/>
      <w:pPr>
        <w:ind w:left="4757" w:hanging="360"/>
      </w:pPr>
      <w:rPr/>
    </w:lvl>
    <w:lvl w:ilvl="7">
      <w:start w:val="1"/>
      <w:numFmt w:val="lowerLetter"/>
      <w:lvlText w:val="%8."/>
      <w:lvlJc w:val="left"/>
      <w:pPr>
        <w:ind w:left="5477" w:hanging="360"/>
      </w:pPr>
      <w:rPr/>
    </w:lvl>
    <w:lvl w:ilvl="8">
      <w:start w:val="1"/>
      <w:numFmt w:val="lowerRoman"/>
      <w:lvlText w:val="%9."/>
      <w:lvlJc w:val="right"/>
      <w:pPr>
        <w:ind w:left="6197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D616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731F6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31F65"/>
  </w:style>
  <w:style w:type="paragraph" w:styleId="Stopka">
    <w:name w:val="footer"/>
    <w:basedOn w:val="Normalny"/>
    <w:link w:val="StopkaZnak"/>
    <w:uiPriority w:val="99"/>
    <w:unhideWhenUsed w:val="1"/>
    <w:rsid w:val="00731F6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31F65"/>
  </w:style>
  <w:style w:type="character" w:styleId="Hipercze">
    <w:name w:val="Hyperlink"/>
    <w:rsid w:val="00CD61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D6161"/>
    <w:pPr>
      <w:spacing w:after="0" w:line="240" w:lineRule="auto"/>
    </w:pPr>
    <w:rPr>
      <w:rFonts w:ascii="Consolas" w:cs="Times New Roman" w:eastAsia="Times New Roman" w:hAnsi="Consolas"/>
      <w:sz w:val="21"/>
      <w:szCs w:val="21"/>
      <w:lang w:eastAsia="pl-PL"/>
    </w:rPr>
  </w:style>
  <w:style w:type="character" w:styleId="ZwykytekstZnak" w:customStyle="1">
    <w:name w:val="Zwykły tekst Znak"/>
    <w:basedOn w:val="Domylnaczcionkaakapitu"/>
    <w:link w:val="Zwykytekst"/>
    <w:uiPriority w:val="99"/>
    <w:rsid w:val="00CD6161"/>
    <w:rPr>
      <w:rFonts w:ascii="Consolas" w:cs="Times New Roman" w:eastAsia="Times New Roman" w:hAnsi="Consolas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CD61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link w:val="AkapitzlistZnak"/>
    <w:uiPriority w:val="34"/>
    <w:qFormat w:val="1"/>
    <w:rsid w:val="00CD6161"/>
    <w:pPr>
      <w:ind w:left="720"/>
      <w:contextualSpacing w:val="1"/>
    </w:pPr>
  </w:style>
  <w:style w:type="paragraph" w:styleId="Dowiadczenie" w:customStyle="1">
    <w:name w:val="Doświadczenie"/>
    <w:basedOn w:val="Normalny"/>
    <w:qFormat w:val="1"/>
    <w:rsid w:val="00CD6161"/>
    <w:pPr>
      <w:spacing w:after="200" w:line="216" w:lineRule="auto"/>
    </w:pPr>
    <w:rPr>
      <w:rFonts w:ascii="Calibri" w:cs="Calibri" w:hAnsi="Calibri"/>
      <w:szCs w:val="24"/>
    </w:rPr>
  </w:style>
  <w:style w:type="paragraph" w:styleId="Tekstpodstawowy">
    <w:name w:val="Body Text"/>
    <w:basedOn w:val="Normalny"/>
    <w:link w:val="TekstpodstawowyZnak"/>
    <w:semiHidden w:val="1"/>
    <w:qFormat w:val="1"/>
    <w:rsid w:val="00CD6161"/>
    <w:pPr>
      <w:widowControl w:val="0"/>
      <w:autoSpaceDE w:val="0"/>
      <w:autoSpaceDN w:val="0"/>
      <w:adjustRightInd w:val="0"/>
      <w:spacing w:after="0" w:line="216" w:lineRule="auto"/>
    </w:pPr>
    <w:rPr>
      <w:rFonts w:ascii="Calibri" w:cs="Calibri" w:hAnsi="Calibri" w:eastAsiaTheme="minorEastAsia"/>
      <w:sz w:val="20"/>
      <w:szCs w:val="20"/>
    </w:rPr>
  </w:style>
  <w:style w:type="character" w:styleId="TekstpodstawowyZnak" w:customStyle="1">
    <w:name w:val="Tekst podstawowy Znak"/>
    <w:basedOn w:val="Domylnaczcionkaakapitu"/>
    <w:link w:val="Tekstpodstawowy"/>
    <w:semiHidden w:val="1"/>
    <w:rsid w:val="00CD6161"/>
    <w:rPr>
      <w:rFonts w:ascii="Calibri" w:cs="Calibri" w:hAnsi="Calibri" w:eastAsiaTheme="minorEastAsia"/>
      <w:sz w:val="20"/>
      <w:szCs w:val="20"/>
    </w:rPr>
  </w:style>
  <w:style w:type="table" w:styleId="Zwykatabela211" w:customStyle="1">
    <w:name w:val="Zwykła tabela 211"/>
    <w:basedOn w:val="Standardowy"/>
    <w:uiPriority w:val="42"/>
    <w:rsid w:val="00CD6161"/>
    <w:pPr>
      <w:spacing w:after="0" w:line="240" w:lineRule="auto"/>
    </w:pPr>
    <w:rPr>
      <w:rFonts w:ascii="Calibri" w:cs="Times New Roman" w:eastAsia="SimSun" w:hAnsi="Calibri"/>
    </w:rPr>
    <w:tblPr>
      <w:tblStyleRowBandSize w:val="1"/>
      <w:tblStyleColBandSize w:val="1"/>
      <w:tblBorders>
        <w:top w:color="7f7f7f" w:space="0" w:sz="4" w:val="single"/>
        <w:bottom w:color="7f7f7f" w:space="0" w:sz="4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character" w:styleId="AkapitzlistZnak" w:customStyle="1">
    <w:name w:val="Akapit z listą Znak"/>
    <w:link w:val="Akapitzlist"/>
    <w:uiPriority w:val="34"/>
    <w:qFormat w:val="1"/>
    <w:rsid w:val="00CD6161"/>
  </w:style>
  <w:style w:type="character" w:styleId="markedcontent" w:customStyle="1">
    <w:name w:val="markedcontent"/>
    <w:basedOn w:val="Domylnaczcionkaakapitu"/>
    <w:rsid w:val="00CD6161"/>
  </w:style>
  <w:style w:type="paragraph" w:styleId="Bezodstpw">
    <w:name w:val="No Spacing"/>
    <w:uiPriority w:val="1"/>
    <w:qFormat w:val="1"/>
    <w:rsid w:val="0086560C"/>
    <w:pPr>
      <w:spacing w:after="0" w:line="240" w:lineRule="auto"/>
      <w:ind w:left="862" w:hanging="720"/>
      <w:jc w:val="both"/>
    </w:pPr>
    <w:rPr>
      <w:rFonts w:ascii="Arial" w:cs="Times New Roman" w:eastAsia="Times New Roman" w:hAnsi="Arial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Y0CEQ2s0sqItVWSBn9+sp0ia4g==">CgMxLjAyCGguZ2pkZ3hzMgloLjMwajB6bGw4AHIhMXh5djIzWWxHMjZ2VkZKeXQ1VnZBb3JUa2JoU0N3SWYt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2023-11-10T10:04:00Z</dcterms:created>
  <dc:creator>FRDL-MichalW</dc:creator>
</cp:coreProperties>
</file>